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EA5" w:rsidRDefault="00291EA5" w14:paraId="5097FA54" w14:textId="77777777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:rsidR="00291EA5" w:rsidP="3B12A3BD" w:rsidRDefault="00C20C6E" w14:paraId="716B36F6" w14:textId="1427DF50">
      <w:pPr>
        <w:widowControl w:val="0"/>
        <w:spacing w:line="240" w:lineRule="auto"/>
        <w:jc w:val="center"/>
        <w:rPr>
          <w:b w:val="1"/>
          <w:bCs w:val="1"/>
          <w:sz w:val="28"/>
          <w:szCs w:val="28"/>
          <w:lang w:val="en-US"/>
        </w:rPr>
      </w:pPr>
      <w:r w:rsidRPr="50B041BA" w:rsidR="00C20C6E">
        <w:rPr>
          <w:b w:val="1"/>
          <w:bCs w:val="1"/>
          <w:sz w:val="28"/>
          <w:szCs w:val="28"/>
          <w:lang w:val="en-US"/>
        </w:rPr>
        <w:t>Self</w:t>
      </w:r>
      <w:r w:rsidRPr="50B041BA" w:rsidR="544A29E6">
        <w:rPr>
          <w:b w:val="1"/>
          <w:bCs w:val="1"/>
          <w:sz w:val="28"/>
          <w:szCs w:val="28"/>
          <w:lang w:val="en-US"/>
        </w:rPr>
        <w:t>-</w:t>
      </w:r>
      <w:r w:rsidRPr="50B041BA" w:rsidR="00C20C6E">
        <w:rPr>
          <w:b w:val="1"/>
          <w:bCs w:val="1"/>
          <w:sz w:val="28"/>
          <w:szCs w:val="28"/>
          <w:lang w:val="en-US"/>
        </w:rPr>
        <w:t xml:space="preserve">Reflection &amp; Goal Setting </w:t>
      </w:r>
      <w:r w:rsidRPr="50B041BA" w:rsidR="00A46399">
        <w:rPr>
          <w:b w:val="1"/>
          <w:bCs w:val="1"/>
          <w:sz w:val="28"/>
          <w:szCs w:val="28"/>
          <w:lang w:val="en-US"/>
        </w:rPr>
        <w:t>–</w:t>
      </w:r>
      <w:r w:rsidRPr="50B041BA" w:rsidR="00C20C6E">
        <w:rPr>
          <w:b w:val="1"/>
          <w:bCs w:val="1"/>
          <w:sz w:val="28"/>
          <w:szCs w:val="28"/>
          <w:lang w:val="en-US"/>
        </w:rPr>
        <w:t xml:space="preserve"> </w:t>
      </w:r>
      <w:r w:rsidRPr="50B041BA" w:rsidR="00A46399">
        <w:rPr>
          <w:b w:val="1"/>
          <w:bCs w:val="1"/>
          <w:sz w:val="28"/>
          <w:szCs w:val="28"/>
          <w:lang w:val="en-US"/>
        </w:rPr>
        <w:t>202</w:t>
      </w:r>
      <w:r w:rsidRPr="50B041BA" w:rsidR="300A49F8">
        <w:rPr>
          <w:b w:val="1"/>
          <w:bCs w:val="1"/>
          <w:sz w:val="28"/>
          <w:szCs w:val="28"/>
          <w:lang w:val="en-US"/>
        </w:rPr>
        <w:t>4</w:t>
      </w:r>
      <w:r w:rsidRPr="50B041BA" w:rsidR="00A46399">
        <w:rPr>
          <w:b w:val="1"/>
          <w:bCs w:val="1"/>
          <w:sz w:val="28"/>
          <w:szCs w:val="28"/>
          <w:lang w:val="en-US"/>
        </w:rPr>
        <w:t>/202</w:t>
      </w:r>
      <w:r w:rsidRPr="50B041BA" w:rsidR="218A6C52">
        <w:rPr>
          <w:b w:val="1"/>
          <w:bCs w:val="1"/>
          <w:sz w:val="28"/>
          <w:szCs w:val="28"/>
          <w:lang w:val="en-US"/>
        </w:rPr>
        <w:t>5</w:t>
      </w:r>
    </w:p>
    <w:p w:rsidR="36D67E2D" w:rsidP="3B12A3BD" w:rsidRDefault="36D67E2D" w14:paraId="0E586E8E" w14:textId="35779C2D">
      <w:pPr>
        <w:widowControl w:val="0"/>
        <w:spacing w:line="240" w:lineRule="auto"/>
        <w:jc w:val="center"/>
        <w:rPr>
          <w:b w:val="1"/>
          <w:bCs w:val="1"/>
          <w:sz w:val="28"/>
          <w:szCs w:val="28"/>
          <w:lang w:val="en-US"/>
        </w:rPr>
      </w:pPr>
    </w:p>
    <w:tbl>
      <w:tblPr>
        <w:tblStyle w:val="a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Pr="000416B9" w:rsidR="00291EA5" w:rsidTr="0CCF1125" w14:paraId="58D3C04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291EA5" w:rsidRDefault="00C20C6E" w14:paraId="39288264" w14:textId="339A3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1"/>
                <w:szCs w:val="21"/>
              </w:rPr>
            </w:pPr>
            <w:r w:rsidRPr="000416B9">
              <w:rPr>
                <w:b/>
                <w:sz w:val="21"/>
                <w:szCs w:val="21"/>
              </w:rPr>
              <w:t xml:space="preserve">Student Name: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291EA5" w:rsidRDefault="00C20C6E" w14:paraId="621EF617" w14:textId="36A331E6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 w:rsidRPr="000416B9">
              <w:rPr>
                <w:b/>
                <w:sz w:val="21"/>
                <w:szCs w:val="21"/>
              </w:rPr>
              <w:t xml:space="preserve">Date: </w:t>
            </w:r>
          </w:p>
        </w:tc>
      </w:tr>
      <w:tr w:rsidRPr="000416B9" w:rsidR="000416B9" w:rsidTr="0CCF1125" w14:paraId="319FE5B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0416B9" w:rsidP="0CCF1125" w:rsidRDefault="3587FE8C" w14:paraId="0EA8F9D7" w14:textId="6E3E35B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21"/>
                <w:szCs w:val="21"/>
              </w:rPr>
            </w:pPr>
            <w:r w:rsidRPr="0CCF1125" w:rsidR="167C230A">
              <w:rPr>
                <w:b w:val="1"/>
                <w:bCs w:val="1"/>
                <w:sz w:val="21"/>
                <w:szCs w:val="21"/>
              </w:rPr>
              <w:t>B</w:t>
            </w:r>
            <w:r w:rsidRPr="0CCF1125" w:rsidR="000416B9">
              <w:rPr>
                <w:b w:val="1"/>
                <w:bCs w:val="1"/>
                <w:sz w:val="21"/>
                <w:szCs w:val="21"/>
              </w:rPr>
              <w:t xml:space="preserve"> Block Teacher: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0416B9" w:rsidRDefault="000416B9" w14:paraId="0385732B" w14:textId="0F93114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 w:rsidRPr="000416B9">
              <w:rPr>
                <w:b/>
                <w:sz w:val="21"/>
                <w:szCs w:val="21"/>
              </w:rPr>
              <w:t>Student Grade:</w:t>
            </w:r>
          </w:p>
        </w:tc>
      </w:tr>
    </w:tbl>
    <w:p w:rsidR="00291EA5" w:rsidRDefault="00291EA5" w14:paraId="4E850BAF" w14:textId="77777777">
      <w:pPr>
        <w:spacing w:line="240" w:lineRule="auto"/>
        <w:rPr>
          <w:sz w:val="20"/>
          <w:szCs w:val="20"/>
          <w:highlight w:val="white"/>
        </w:rPr>
      </w:pPr>
    </w:p>
    <w:p w:rsidRPr="000416B9" w:rsidR="00291EA5" w:rsidRDefault="00C20C6E" w14:paraId="611E1DE0" w14:textId="77777777">
      <w:pPr>
        <w:spacing w:line="240" w:lineRule="auto"/>
        <w:rPr>
          <w:b/>
          <w:sz w:val="21"/>
          <w:szCs w:val="21"/>
          <w:highlight w:val="white"/>
        </w:rPr>
      </w:pPr>
      <w:r w:rsidRPr="000416B9">
        <w:rPr>
          <w:b/>
          <w:sz w:val="21"/>
          <w:szCs w:val="21"/>
          <w:highlight w:val="white"/>
        </w:rPr>
        <w:t>Core Competencies:</w:t>
      </w:r>
    </w:p>
    <w:p w:rsidRPr="000416B9" w:rsidR="00291EA5" w:rsidP="3B12A3BD" w:rsidRDefault="00C20C6E" w14:paraId="5B6D0A64" w14:textId="77777777">
      <w:pPr>
        <w:numPr>
          <w:ilvl w:val="0"/>
          <w:numId w:val="5"/>
        </w:numPr>
        <w:spacing w:line="240" w:lineRule="auto"/>
        <w:rPr>
          <w:sz w:val="21"/>
          <w:szCs w:val="21"/>
          <w:highlight w:val="white"/>
          <w:lang w:val="en-US"/>
        </w:rPr>
      </w:pPr>
      <w:r w:rsidRPr="3B12A3BD">
        <w:rPr>
          <w:sz w:val="21"/>
          <w:szCs w:val="21"/>
          <w:highlight w:val="white"/>
          <w:lang w:val="en-US"/>
        </w:rPr>
        <w:t>Core competencies are sets of intellectual, personal, and social and emotional proficiencies that all students need to develop in order to engage in deep learning and life-long learning</w:t>
      </w:r>
    </w:p>
    <w:p w:rsidRPr="000416B9" w:rsidR="00291EA5" w:rsidRDefault="00291EA5" w14:paraId="01348D60" w14:textId="77777777">
      <w:pPr>
        <w:rPr>
          <w:sz w:val="21"/>
          <w:szCs w:val="21"/>
          <w:highlight w:val="white"/>
        </w:rPr>
      </w:pPr>
    </w:p>
    <w:p w:rsidRPr="000416B9" w:rsidR="00291EA5" w:rsidP="3B12A3BD" w:rsidRDefault="00C20C6E" w14:paraId="582056B1" w14:textId="188F7929">
      <w:pPr>
        <w:numPr>
          <w:ilvl w:val="0"/>
          <w:numId w:val="5"/>
        </w:numPr>
        <w:spacing w:line="240" w:lineRule="auto"/>
        <w:rPr>
          <w:sz w:val="21"/>
          <w:szCs w:val="21"/>
          <w:highlight w:val="white"/>
          <w:lang w:val="en-US"/>
        </w:rPr>
      </w:pPr>
      <w:r w:rsidRPr="76E20AF3" w:rsidR="00C20C6E">
        <w:rPr>
          <w:sz w:val="21"/>
          <w:szCs w:val="21"/>
          <w:highlight w:val="white"/>
          <w:lang w:val="en-US"/>
        </w:rPr>
        <w:t xml:space="preserve">Throughout your year, in each of your classes, the learning tasks in which you have been engaged have had three </w:t>
      </w:r>
      <w:r w:rsidRPr="76E20AF3" w:rsidR="00C20C6E">
        <w:rPr>
          <w:sz w:val="21"/>
          <w:szCs w:val="21"/>
          <w:highlight w:val="white"/>
          <w:lang w:val="en-US"/>
        </w:rPr>
        <w:t>proficiencies</w:t>
      </w:r>
      <w:r w:rsidRPr="76E20AF3" w:rsidR="00C20C6E">
        <w:rPr>
          <w:sz w:val="21"/>
          <w:szCs w:val="21"/>
          <w:highlight w:val="white"/>
          <w:lang w:val="en-US"/>
        </w:rPr>
        <w:t xml:space="preserve"> embedded in them: Communication (</w:t>
      </w:r>
      <w:r w:rsidRPr="76E20AF3" w:rsidR="00C20C6E">
        <w:rPr>
          <w:sz w:val="21"/>
          <w:szCs w:val="21"/>
          <w:highlight w:val="white"/>
          <w:lang w:val="en-US"/>
        </w:rPr>
        <w:t>C)</w:t>
      </w:r>
      <w:r w:rsidRPr="76E20AF3" w:rsidR="00C20C6E">
        <w:rPr>
          <w:sz w:val="21"/>
          <w:szCs w:val="21"/>
          <w:highlight w:val="white"/>
          <w:lang w:val="en-US"/>
        </w:rPr>
        <w:t xml:space="preserve">, </w:t>
      </w:r>
      <w:r w:rsidRPr="76E20AF3" w:rsidR="000416B9">
        <w:rPr>
          <w:sz w:val="21"/>
          <w:szCs w:val="21"/>
          <w:highlight w:val="white"/>
          <w:lang w:val="en-US"/>
        </w:rPr>
        <w:t xml:space="preserve">Thinking (T) and </w:t>
      </w:r>
      <w:r w:rsidRPr="76E20AF3" w:rsidR="00C20C6E">
        <w:rPr>
          <w:sz w:val="21"/>
          <w:szCs w:val="21"/>
          <w:highlight w:val="white"/>
          <w:lang w:val="en-US"/>
        </w:rPr>
        <w:t>Personal &amp; Social (PS</w:t>
      </w:r>
      <w:r w:rsidRPr="76E20AF3" w:rsidR="000416B9">
        <w:rPr>
          <w:sz w:val="21"/>
          <w:szCs w:val="21"/>
          <w:highlight w:val="white"/>
          <w:lang w:val="en-US"/>
        </w:rPr>
        <w:t>)</w:t>
      </w:r>
      <w:r w:rsidRPr="76E20AF3" w:rsidR="000416B9">
        <w:rPr>
          <w:sz w:val="21"/>
          <w:szCs w:val="21"/>
          <w:highlight w:val="white"/>
          <w:lang w:val="en-US"/>
        </w:rPr>
        <w:t>.</w:t>
      </w:r>
      <w:r w:rsidRPr="76E20AF3" w:rsidR="00C20C6E">
        <w:rPr>
          <w:sz w:val="21"/>
          <w:szCs w:val="21"/>
          <w:highlight w:val="white"/>
          <w:lang w:val="en-US"/>
        </w:rPr>
        <w:t xml:space="preserve">  </w:t>
      </w:r>
      <w:r w:rsidRPr="76E20AF3" w:rsidR="00C20C6E">
        <w:rPr>
          <w:sz w:val="21"/>
          <w:szCs w:val="21"/>
          <w:highlight w:val="white"/>
          <w:lang w:val="en-US"/>
        </w:rPr>
        <w:t xml:space="preserve">   </w:t>
      </w:r>
    </w:p>
    <w:p w:rsidRPr="000416B9" w:rsidR="00291EA5" w:rsidRDefault="00291EA5" w14:paraId="6BAAB4B1" w14:textId="77777777">
      <w:pPr>
        <w:spacing w:line="240" w:lineRule="auto"/>
        <w:ind w:left="720"/>
        <w:rPr>
          <w:sz w:val="21"/>
          <w:szCs w:val="21"/>
          <w:highlight w:val="white"/>
        </w:rPr>
      </w:pPr>
    </w:p>
    <w:p w:rsidRPr="000416B9" w:rsidR="00291EA5" w:rsidP="3B12A3BD" w:rsidRDefault="00C20C6E" w14:paraId="0EE2E14A" w14:textId="77777777">
      <w:pPr>
        <w:numPr>
          <w:ilvl w:val="0"/>
          <w:numId w:val="5"/>
        </w:numPr>
        <w:spacing w:line="240" w:lineRule="auto"/>
        <w:rPr>
          <w:sz w:val="21"/>
          <w:szCs w:val="21"/>
          <w:highlight w:val="white"/>
          <w:lang w:val="en-US"/>
        </w:rPr>
      </w:pPr>
      <w:r w:rsidRPr="3B12A3BD">
        <w:rPr>
          <w:sz w:val="21"/>
          <w:szCs w:val="21"/>
          <w:highlight w:val="white"/>
          <w:lang w:val="en-US"/>
        </w:rPr>
        <w:t xml:space="preserve">What do these competencies look like in my classes? My learning? My teams and clubs?  </w:t>
      </w:r>
      <w:r w:rsidRPr="3B12A3BD">
        <w:rPr>
          <w:sz w:val="21"/>
          <w:szCs w:val="21"/>
          <w:highlight w:val="white"/>
          <w:lang w:val="en-US"/>
        </w:rPr>
        <w:t>My community? Highlight areas that you are successfully doing and identify areas that you can work on.</w:t>
      </w:r>
    </w:p>
    <w:p w:rsidR="00291EA5" w:rsidRDefault="00291EA5" w14:paraId="30E99872" w14:textId="77777777">
      <w:pPr>
        <w:spacing w:line="240" w:lineRule="auto"/>
        <w:rPr>
          <w:sz w:val="20"/>
          <w:szCs w:val="20"/>
          <w:highlight w:val="white"/>
        </w:rPr>
      </w:pPr>
    </w:p>
    <w:p w:rsidR="00291EA5" w:rsidP="3B12A3BD" w:rsidRDefault="00DC25B3" w14:paraId="0C8A089C" w14:textId="74D1EF50">
      <w:pPr>
        <w:spacing w:line="240" w:lineRule="auto"/>
        <w:jc w:val="center"/>
        <w:rPr>
          <w:highlight w:val="white"/>
          <w:lang w:val="en-US"/>
        </w:rPr>
      </w:pPr>
      <w:r w:rsidRPr="3B12A3BD">
        <w:rPr>
          <w:highlight w:val="white"/>
          <w:lang w:val="en-US"/>
        </w:rPr>
        <w:t>Facets</w:t>
      </w:r>
    </w:p>
    <w:tbl>
      <w:tblPr>
        <w:tblW w:w="11100" w:type="dxa"/>
        <w:tblInd w:w="-4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9000"/>
      </w:tblGrid>
      <w:tr w:rsidR="000416B9" w:rsidTr="7AC36442" w14:paraId="688372C0" w14:textId="77777777">
        <w:trPr>
          <w:trHeight w:val="1242"/>
        </w:trPr>
        <w:tc>
          <w:tcPr>
            <w:tcW w:w="210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6B9" w:rsidP="7AC36442" w:rsidRDefault="000416B9" w14:paraId="26790F2E" w14:textId="2F285C60">
            <w:pPr>
              <w:pStyle w:val="Normal"/>
              <w:widowControl w:val="0"/>
              <w:spacing w:line="240" w:lineRule="auto"/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7AC36442" w:rsidR="7AC36442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1. </w:t>
            </w:r>
            <w:r w:rsidRPr="7AC36442" w:rsidR="351F34C0">
              <w:rPr>
                <w:b w:val="1"/>
                <w:bCs w:val="1"/>
                <w:i w:val="1"/>
                <w:iCs w:val="1"/>
                <w:sz w:val="22"/>
                <w:szCs w:val="22"/>
              </w:rPr>
              <w:t>Communication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C25B3" w:rsidR="00DC25B3" w:rsidP="00DC25B3" w:rsidRDefault="00DC25B3" w14:paraId="22EAEB82" w14:textId="77777777">
            <w:pPr>
              <w:pStyle w:val="ListParagraph"/>
              <w:numPr>
                <w:ilvl w:val="0"/>
                <w:numId w:val="3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Connecting and engaging with others </w:t>
            </w:r>
          </w:p>
          <w:p w:rsidRPr="00DC25B3" w:rsidR="00DC25B3" w:rsidP="00DC25B3" w:rsidRDefault="00DC25B3" w14:paraId="29598F81" w14:textId="77777777">
            <w:pPr>
              <w:pStyle w:val="ListParagraph"/>
              <w:numPr>
                <w:ilvl w:val="0"/>
                <w:numId w:val="3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>Contribute to collective work and collaborate both as a member of a group and with other groups</w:t>
            </w:r>
          </w:p>
          <w:p w:rsidRPr="00DC25B3" w:rsidR="00DC25B3" w:rsidP="00DC25B3" w:rsidRDefault="00DC25B3" w14:paraId="6BE300F5" w14:textId="77777777">
            <w:pPr>
              <w:pStyle w:val="ListParagraph"/>
              <w:numPr>
                <w:ilvl w:val="0"/>
                <w:numId w:val="3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Supporting group interactions </w:t>
            </w:r>
          </w:p>
          <w:p w:rsidRPr="00DC25B3" w:rsidR="00DC25B3" w:rsidP="00DC25B3" w:rsidRDefault="00DC25B3" w14:paraId="7EA8A093" w14:textId="77777777">
            <w:pPr>
              <w:pStyle w:val="ListParagraph"/>
              <w:numPr>
                <w:ilvl w:val="0"/>
                <w:numId w:val="3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Adjusting communications to match the intent and purpose of the situation </w:t>
            </w:r>
          </w:p>
          <w:p w:rsidRPr="00DC25B3" w:rsidR="00DC25B3" w:rsidP="00DC25B3" w:rsidRDefault="00DC25B3" w14:paraId="2625250F" w14:textId="77777777">
            <w:pPr>
              <w:pStyle w:val="ListParagraph"/>
              <w:numPr>
                <w:ilvl w:val="0"/>
                <w:numId w:val="3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Communicating information through reading, listening and viewing, and presenting information back, in multiple formats and for multiple different audiences </w:t>
            </w:r>
          </w:p>
          <w:p w:rsidRPr="00DC25B3" w:rsidR="000416B9" w:rsidP="00DC25B3" w:rsidRDefault="00DC25B3" w14:paraId="20DA0F23" w14:textId="6A09A11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DC25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Contributing and actively helping the common purposes and goals of groups </w:t>
            </w:r>
          </w:p>
        </w:tc>
      </w:tr>
      <w:tr w:rsidRPr="000416B9" w:rsidR="000416B9" w:rsidTr="7AC36442" w14:paraId="4D00AA2C" w14:textId="77777777">
        <w:trPr>
          <w:trHeight w:val="440"/>
        </w:trPr>
        <w:tc>
          <w:tcPr>
            <w:tcW w:w="210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0416B9" w:rsidP="000F1C7F" w:rsidRDefault="000416B9" w14:paraId="2B0EB85D" w14:textId="1FDECC99">
            <w:pPr>
              <w:widowControl w:val="0"/>
              <w:spacing w:line="240" w:lineRule="auto"/>
              <w:rPr>
                <w:b/>
                <w:i/>
              </w:rPr>
            </w:pPr>
            <w:r w:rsidRPr="000416B9">
              <w:rPr>
                <w:b/>
              </w:rPr>
              <w:t xml:space="preserve">2. </w:t>
            </w:r>
            <w:r w:rsidRPr="000416B9">
              <w:rPr>
                <w:b/>
                <w:i/>
              </w:rPr>
              <w:t>Thinking</w:t>
            </w:r>
          </w:p>
        </w:tc>
        <w:tc>
          <w:tcPr>
            <w:tcW w:w="9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C25B3" w:rsidR="00DC25B3" w:rsidP="00DC25B3" w:rsidRDefault="00DC25B3" w14:paraId="39434490" w14:textId="7B5E0DAF">
            <w:pPr>
              <w:pStyle w:val="ListParagraph"/>
              <w:numPr>
                <w:ilvl w:val="0"/>
                <w:numId w:val="7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Creating new ideas and innovating new ways (these might simply be new to you). </w:t>
            </w:r>
          </w:p>
          <w:p w:rsidRPr="00DC25B3" w:rsidR="00DC25B3" w:rsidP="00DC25B3" w:rsidRDefault="00DC25B3" w14:paraId="64AA2C31" w14:textId="27EBA842">
            <w:pPr>
              <w:pStyle w:val="ListParagraph"/>
              <w:numPr>
                <w:ilvl w:val="0"/>
                <w:numId w:val="7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Exploring existing ideas or passions. </w:t>
            </w:r>
          </w:p>
          <w:p w:rsidRPr="00DC25B3" w:rsidR="000416B9" w:rsidP="00DC25B3" w:rsidRDefault="00DC25B3" w14:paraId="1FD1C1B3" w14:textId="58F3BC4E">
            <w:pPr>
              <w:pStyle w:val="ListParagraph"/>
              <w:numPr>
                <w:ilvl w:val="0"/>
                <w:numId w:val="7"/>
              </w:numPr>
              <w:rPr>
                <w:rFonts w:eastAsia="Arial" w:asciiTheme="majorHAnsi" w:hAnsiTheme="majorHAnsi" w:cstheme="majorHAnsi"/>
                <w:color w:val="000000"/>
                <w:sz w:val="22"/>
                <w:szCs w:val="22"/>
              </w:rPr>
            </w:pPr>
            <w:bookmarkStart w:name="_Hlk129333540" w:id="0"/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>Design and develop ideas in response to problems, events, issues and needs, adjusting along the way in response to feedback.</w:t>
            </w:r>
            <w:r w:rsidRPr="00DC25B3">
              <w:rPr>
                <w:rFonts w:eastAsia="Arial"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bookmarkEnd w:id="0"/>
          </w:p>
        </w:tc>
      </w:tr>
      <w:tr w:rsidRPr="000416B9" w:rsidR="000416B9" w:rsidTr="7AC36442" w14:paraId="4BC8172A" w14:textId="77777777">
        <w:trPr>
          <w:trHeight w:val="440"/>
        </w:trPr>
        <w:tc>
          <w:tcPr>
            <w:tcW w:w="210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0416B9" w:rsidP="000F1C7F" w:rsidRDefault="000416B9" w14:paraId="2D8D3207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416B9">
              <w:rPr>
                <w:b/>
                <w:sz w:val="20"/>
                <w:szCs w:val="20"/>
              </w:rPr>
              <w:t>A. Creative Thinking</w:t>
            </w:r>
          </w:p>
        </w:tc>
        <w:tc>
          <w:tcPr>
            <w:tcW w:w="9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0416B9" w:rsidP="000F1C7F" w:rsidRDefault="000416B9" w14:paraId="1CC4FA6E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416B9" w:rsidTr="7AC36442" w14:paraId="01367D3D" w14:textId="77777777">
        <w:trPr>
          <w:trHeight w:val="440"/>
        </w:trPr>
        <w:tc>
          <w:tcPr>
            <w:tcW w:w="210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0416B9" w:rsidP="000F1C7F" w:rsidRDefault="000416B9" w14:paraId="562D91DB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416B9">
              <w:rPr>
                <w:b/>
                <w:sz w:val="20"/>
                <w:szCs w:val="20"/>
              </w:rPr>
              <w:t>B. Critical Thinking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C25B3" w:rsidR="00DC25B3" w:rsidP="00DC25B3" w:rsidRDefault="00DC25B3" w14:paraId="7D367FB2" w14:textId="65FC6841">
            <w:pPr>
              <w:pStyle w:val="ListParagraph"/>
              <w:numPr>
                <w:ilvl w:val="0"/>
                <w:numId w:val="1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bookmarkStart w:name="_Hlk129333572" w:id="1"/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Analyzing and critically examining thoughts, approaches, products or ideas. </w:t>
            </w:r>
          </w:p>
          <w:bookmarkEnd w:id="1"/>
          <w:p w:rsidRPr="00DC25B3" w:rsidR="00DC25B3" w:rsidP="00DC25B3" w:rsidRDefault="00DC25B3" w14:paraId="2ECDD45D" w14:textId="529E40B2">
            <w:pPr>
              <w:pStyle w:val="ListParagraph"/>
              <w:numPr>
                <w:ilvl w:val="0"/>
                <w:numId w:val="1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Questioning and investigating the information that is presented, rather than accepting it as it is. </w:t>
            </w:r>
          </w:p>
          <w:p w:rsidRPr="00DC25B3" w:rsidR="00DC25B3" w:rsidP="00DC25B3" w:rsidRDefault="00DC25B3" w14:paraId="2958C1A3" w14:textId="4D6F4B8A">
            <w:pPr>
              <w:pStyle w:val="ListParagraph"/>
              <w:numPr>
                <w:ilvl w:val="0"/>
                <w:numId w:val="1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Reflecting, assessing and evaluating the creative ideas, then choosing and acting on directions. Persisting with the directions and ideas even through setbacks or failures. </w:t>
            </w:r>
          </w:p>
          <w:p w:rsidRPr="00DC25B3" w:rsidR="000416B9" w:rsidP="00DC25B3" w:rsidRDefault="00DC25B3" w14:paraId="798BBF4A" w14:textId="5BCC3465">
            <w:pPr>
              <w:pStyle w:val="ListParagraph"/>
              <w:numPr>
                <w:ilvl w:val="0"/>
                <w:numId w:val="1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bookmarkStart w:name="_Hlk129333930" w:id="2"/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After reflection, determine how your original goals have been met, and then set new ones. </w:t>
            </w:r>
            <w:bookmarkEnd w:id="2"/>
          </w:p>
        </w:tc>
      </w:tr>
      <w:tr w:rsidRPr="000416B9" w:rsidR="00291EA5" w:rsidTr="7AC36442" w14:paraId="2F61C4DC" w14:textId="77777777">
        <w:trPr>
          <w:trHeight w:val="440"/>
        </w:trPr>
        <w:tc>
          <w:tcPr>
            <w:tcW w:w="21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291EA5" w:rsidRDefault="00C20C6E" w14:paraId="57A8E87D" w14:textId="77777777">
            <w:pPr>
              <w:widowControl w:val="0"/>
              <w:spacing w:line="240" w:lineRule="auto"/>
              <w:rPr>
                <w:b/>
                <w:i/>
              </w:rPr>
            </w:pPr>
            <w:r w:rsidRPr="000416B9">
              <w:rPr>
                <w:b/>
              </w:rPr>
              <w:t xml:space="preserve">2. </w:t>
            </w:r>
            <w:r w:rsidRPr="000416B9">
              <w:rPr>
                <w:b/>
                <w:i/>
              </w:rPr>
              <w:t>Personal/Social</w:t>
            </w:r>
          </w:p>
        </w:tc>
        <w:tc>
          <w:tcPr>
            <w:tcW w:w="9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C25B3" w:rsidR="00DC25B3" w:rsidP="00DC25B3" w:rsidRDefault="00DC25B3" w14:paraId="6BE17FFE" w14:textId="3674751A">
            <w:pPr>
              <w:pStyle w:val="ListParagraph"/>
              <w:numPr>
                <w:ilvl w:val="0"/>
                <w:numId w:val="2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>Expressing your needs, self-advocating, and seeking help when you need it.</w:t>
            </w:r>
          </w:p>
          <w:p w:rsidRPr="00DC25B3" w:rsidR="00291EA5" w:rsidP="00DC25B3" w:rsidRDefault="00DC25B3" w14:paraId="645313BF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DC25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Becoming aware of what triggers your emotions, taking ownership of your actions, and persevering when things get challenging.</w:t>
            </w:r>
          </w:p>
          <w:p w:rsidRPr="00DC25B3" w:rsidR="00DC25B3" w:rsidP="00DC25B3" w:rsidRDefault="00DC25B3" w14:paraId="338E931B" w14:textId="77777777">
            <w:pPr>
              <w:pStyle w:val="ListParagraph"/>
              <w:numPr>
                <w:ilvl w:val="0"/>
                <w:numId w:val="2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Caring for your physical and mental health and well-being. Making smart and safe choices, both online and in your community. </w:t>
            </w:r>
          </w:p>
          <w:p w:rsidRPr="00DC25B3" w:rsidR="00DC25B3" w:rsidP="00DC25B3" w:rsidRDefault="00DC25B3" w14:paraId="46FB3D0C" w14:textId="02F6CB26">
            <w:pPr>
              <w:pStyle w:val="ListParagraph"/>
              <w:numPr>
                <w:ilvl w:val="0"/>
                <w:numId w:val="2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bookmarkStart w:name="_Hlk129334441" w:id="3"/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Considering how your ethnicity, nationality, language(s), strengths and abilities, gender identity, age, community and religious/spiritual beliefs shape you and your relationship to the world. </w:t>
            </w:r>
            <w:bookmarkEnd w:id="3"/>
          </w:p>
        </w:tc>
      </w:tr>
      <w:tr w:rsidRPr="000416B9" w:rsidR="00291EA5" w:rsidTr="7AC36442" w14:paraId="10DBE39E" w14:textId="77777777">
        <w:trPr>
          <w:trHeight w:val="440"/>
        </w:trPr>
        <w:tc>
          <w:tcPr>
            <w:tcW w:w="21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291EA5" w:rsidRDefault="00C20C6E" w14:paraId="54C9FB0C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416B9">
              <w:rPr>
                <w:b/>
                <w:sz w:val="20"/>
                <w:szCs w:val="20"/>
              </w:rPr>
              <w:t>A. Positive Personal and Cultural Identity</w:t>
            </w:r>
          </w:p>
        </w:tc>
        <w:tc>
          <w:tcPr>
            <w:tcW w:w="9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C25B3" w:rsidR="00291EA5" w:rsidRDefault="00291EA5" w14:paraId="63B0CE01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Pr="000416B9" w:rsidR="00291EA5" w:rsidTr="7AC36442" w14:paraId="7664D496" w14:textId="77777777">
        <w:trPr>
          <w:trHeight w:val="440"/>
        </w:trPr>
        <w:tc>
          <w:tcPr>
            <w:tcW w:w="21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291EA5" w:rsidRDefault="00C20C6E" w14:paraId="5EB7E369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416B9">
              <w:rPr>
                <w:b/>
                <w:sz w:val="20"/>
                <w:szCs w:val="20"/>
              </w:rPr>
              <w:t>B.  Personal Awareness and Responsibility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P="00DC25B3" w:rsidRDefault="00DC25B3" w14:paraId="64FDFACD" w14:textId="77777777">
            <w:pPr>
              <w:pStyle w:val="ListParagraph"/>
              <w:numPr>
                <w:ilvl w:val="0"/>
                <w:numId w:val="9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>Recognizing and acknowledging your strengths and abilities, and how these contribute to your family, relationships and society.</w:t>
            </w:r>
          </w:p>
          <w:p w:rsidRPr="00DC25B3" w:rsidR="00E82FAC" w:rsidP="00DC25B3" w:rsidRDefault="00E82FAC" w14:paraId="36EE7E02" w14:textId="7E8B79BD">
            <w:pPr>
              <w:pStyle w:val="ListParagraph"/>
              <w:numPr>
                <w:ilvl w:val="0"/>
                <w:numId w:val="9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>Building positive relationships with peers and others of all ages and backgrounds. Being respectful, and considerate in both words and actions to support and care for these relationships.</w:t>
            </w:r>
          </w:p>
        </w:tc>
      </w:tr>
      <w:tr w:rsidR="00291EA5" w:rsidTr="7AC36442" w14:paraId="063B5ED0" w14:textId="77777777">
        <w:trPr>
          <w:trHeight w:val="440"/>
        </w:trPr>
        <w:tc>
          <w:tcPr>
            <w:tcW w:w="21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16B9" w:rsidR="00291EA5" w:rsidRDefault="00C20C6E" w14:paraId="153C71BC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416B9">
              <w:rPr>
                <w:b/>
                <w:sz w:val="20"/>
                <w:szCs w:val="20"/>
              </w:rPr>
              <w:t>C. Social Responsibility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C25B3" w:rsidR="00DC25B3" w:rsidP="00DC25B3" w:rsidRDefault="00DC25B3" w14:paraId="0272865B" w14:textId="6D6750AA">
            <w:pPr>
              <w:pStyle w:val="ListParagraph"/>
              <w:numPr>
                <w:ilvl w:val="0"/>
                <w:numId w:val="4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Taking responsibility for your social, physical and natural environment. Being aware of the impact(s) of your decisions and actions. </w:t>
            </w:r>
          </w:p>
          <w:p w:rsidRPr="00DC25B3" w:rsidR="00DC25B3" w:rsidP="00DC25B3" w:rsidRDefault="00DC25B3" w14:paraId="7E98F7DE" w14:textId="3E7A10F0">
            <w:pPr>
              <w:pStyle w:val="ListParagraph"/>
              <w:numPr>
                <w:ilvl w:val="0"/>
                <w:numId w:val="4"/>
              </w:numPr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</w:pPr>
            <w:bookmarkStart w:name="_Hlk129334612" w:id="4"/>
            <w:r w:rsidRPr="00DC25B3">
              <w:rPr>
                <w:rFonts w:eastAsia="Arial" w:asciiTheme="majorHAnsi" w:hAnsiTheme="majorHAnsi" w:cstheme="majorHAnsi"/>
                <w:color w:val="000000"/>
                <w:sz w:val="20"/>
                <w:szCs w:val="20"/>
              </w:rPr>
              <w:t xml:space="preserve">Employing strategies to solve problems and having respectful communication, while valuing different perspectives. </w:t>
            </w:r>
          </w:p>
          <w:bookmarkEnd w:id="4"/>
          <w:p w:rsidRPr="000416B9" w:rsidR="00291EA5" w:rsidP="3B12A3BD" w:rsidRDefault="00DC25B3" w14:paraId="0D36B145" w14:textId="4D6A034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 w:rsidRPr="3B12A3BD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n-US"/>
              </w:rPr>
              <w:t>Valuing diversity in others and fostering inclusive relationships, groups and communities.</w:t>
            </w:r>
          </w:p>
        </w:tc>
      </w:tr>
    </w:tbl>
    <w:p w:rsidR="00291EA5" w:rsidP="3B12A3BD" w:rsidRDefault="00C20C6E" w14:paraId="54A080F1" w14:textId="6F4EC736">
      <w:pPr>
        <w:rPr>
          <w:b w:val="1"/>
          <w:bCs w:val="1"/>
          <w:u w:val="single"/>
          <w:lang w:val="en-US"/>
        </w:rPr>
      </w:pPr>
      <w:r>
        <w:br w:type="page"/>
      </w:r>
      <w:r w:rsidRPr="50B041BA" w:rsidR="00C20C6E">
        <w:rPr>
          <w:b w:val="1"/>
          <w:bCs w:val="1"/>
          <w:u w:val="single"/>
          <w:lang w:val="en-US"/>
        </w:rPr>
        <w:t>Strengths</w:t>
      </w:r>
      <w:r w:rsidRPr="50B041BA" w:rsidR="00630E98">
        <w:rPr>
          <w:b w:val="1"/>
          <w:bCs w:val="1"/>
          <w:u w:val="single"/>
          <w:lang w:val="en-US"/>
        </w:rPr>
        <w:t xml:space="preserve">, </w:t>
      </w:r>
      <w:r w:rsidRPr="50B041BA" w:rsidR="37F939D4">
        <w:rPr>
          <w:b w:val="1"/>
          <w:bCs w:val="1"/>
          <w:u w:val="single"/>
          <w:lang w:val="en-US"/>
        </w:rPr>
        <w:t>Reflection</w:t>
      </w:r>
      <w:r w:rsidRPr="50B041BA" w:rsidR="00C20C6E">
        <w:rPr>
          <w:b w:val="1"/>
          <w:bCs w:val="1"/>
          <w:u w:val="single"/>
          <w:lang w:val="en-US"/>
        </w:rPr>
        <w:t xml:space="preserve"> and Goal</w:t>
      </w:r>
      <w:r w:rsidRPr="50B041BA" w:rsidR="004A5625">
        <w:rPr>
          <w:b w:val="1"/>
          <w:bCs w:val="1"/>
          <w:u w:val="single"/>
          <w:lang w:val="en-US"/>
        </w:rPr>
        <w:t xml:space="preserve"> Setting</w:t>
      </w:r>
    </w:p>
    <w:p w:rsidR="004A5625" w:rsidRDefault="00C20C6E" w14:paraId="513ADD3F" w14:textId="04F12CF4">
      <w:r w:rsidRPr="0CCF1125" w:rsidR="00C20C6E">
        <w:rPr>
          <w:lang w:val="en-US"/>
        </w:rPr>
        <w:t>Pick</w:t>
      </w:r>
      <w:r w:rsidRPr="0CCF1125" w:rsidR="00C20C6E">
        <w:rPr>
          <w:b w:val="1"/>
          <w:bCs w:val="1"/>
          <w:lang w:val="en-US"/>
        </w:rPr>
        <w:t xml:space="preserve"> one </w:t>
      </w:r>
      <w:r w:rsidRPr="0CCF1125" w:rsidR="61C2FCA5">
        <w:rPr>
          <w:lang w:val="en-US"/>
        </w:rPr>
        <w:t>Core Competency</w:t>
      </w:r>
      <w:r w:rsidRPr="0CCF1125" w:rsidR="00C20C6E">
        <w:rPr>
          <w:lang w:val="en-US"/>
        </w:rPr>
        <w:t xml:space="preserve"> (</w:t>
      </w:r>
      <w:r w:rsidRPr="0CCF1125" w:rsidR="0FCD57F7">
        <w:rPr>
          <w:b w:val="1"/>
          <w:bCs w:val="1"/>
          <w:i w:val="1"/>
          <w:iCs w:val="1"/>
          <w:lang w:val="en-US"/>
        </w:rPr>
        <w:t>Communication, Thinking</w:t>
      </w:r>
      <w:r w:rsidRPr="0CCF1125" w:rsidR="000416B9">
        <w:rPr>
          <w:b w:val="1"/>
          <w:bCs w:val="1"/>
          <w:i w:val="1"/>
          <w:iCs w:val="1"/>
          <w:lang w:val="en-US"/>
        </w:rPr>
        <w:t xml:space="preserve"> or Personal Socia</w:t>
      </w:r>
      <w:r w:rsidRPr="0CCF1125" w:rsidR="000416B9">
        <w:rPr>
          <w:i w:val="1"/>
          <w:iCs w:val="1"/>
          <w:lang w:val="en-US"/>
        </w:rPr>
        <w:t>l</w:t>
      </w:r>
      <w:r w:rsidRPr="0CCF1125" w:rsidR="00C20C6E">
        <w:rPr>
          <w:lang w:val="en-US"/>
        </w:rPr>
        <w:t xml:space="preserve">) that are strengths for you and </w:t>
      </w:r>
      <w:r w:rsidRPr="0CCF1125" w:rsidR="00C20C6E">
        <w:rPr>
          <w:b w:val="1"/>
          <w:bCs w:val="1"/>
          <w:lang w:val="en-US"/>
        </w:rPr>
        <w:t>one</w:t>
      </w:r>
      <w:r w:rsidRPr="0CCF1125" w:rsidR="00C20C6E">
        <w:rPr>
          <w:lang w:val="en-US"/>
        </w:rPr>
        <w:t xml:space="preserve"> </w:t>
      </w:r>
      <w:r w:rsidRPr="0CCF1125" w:rsidR="662FA83D">
        <w:rPr>
          <w:lang w:val="en-US"/>
        </w:rPr>
        <w:t>facet</w:t>
      </w:r>
      <w:r w:rsidRPr="0CCF1125" w:rsidR="00C20C6E">
        <w:rPr>
          <w:lang w:val="en-US"/>
        </w:rPr>
        <w:t xml:space="preserve"> you </w:t>
      </w:r>
      <w:r w:rsidRPr="0CCF1125" w:rsidR="000416B9">
        <w:rPr>
          <w:lang w:val="en-US"/>
        </w:rPr>
        <w:t>want to focus your growth</w:t>
      </w:r>
      <w:r w:rsidRPr="0CCF1125" w:rsidR="4C51E891">
        <w:rPr>
          <w:lang w:val="en-US"/>
        </w:rPr>
        <w:t>.</w:t>
      </w:r>
    </w:p>
    <w:p w:rsidR="0CCF1125" w:rsidP="0CCF1125" w:rsidRDefault="0CCF1125" w14:paraId="4279464D" w14:textId="0A8C0434">
      <w:pPr>
        <w:rPr>
          <w:lang w:val="en-US"/>
        </w:rPr>
      </w:pPr>
    </w:p>
    <w:tbl>
      <w:tblPr>
        <w:tblStyle w:val="a1"/>
        <w:tblW w:w="104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310"/>
      </w:tblGrid>
      <w:tr w:rsidR="00291EA5" w:rsidTr="0CCF1125" w14:paraId="1B5E8EEB" w14:textId="77777777">
        <w:tc>
          <w:tcPr>
            <w:tcW w:w="51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P="3B12A3BD" w:rsidRDefault="00C20C6E" w14:paraId="583BDACF" w14:textId="7404E20B">
            <w:pPr>
              <w:rPr>
                <w:b w:val="1"/>
                <w:bCs w:val="1"/>
                <w:lang w:val="en-US"/>
              </w:rPr>
            </w:pPr>
            <w:r w:rsidRPr="0CCF1125" w:rsidR="00C20C6E">
              <w:rPr>
                <w:b w:val="1"/>
                <w:bCs w:val="1"/>
                <w:lang w:val="en-US"/>
              </w:rPr>
              <w:t xml:space="preserve">What </w:t>
            </w:r>
            <w:r w:rsidRPr="0CCF1125" w:rsidR="3A8507B8">
              <w:rPr>
                <w:b w:val="1"/>
                <w:bCs w:val="1"/>
                <w:lang w:val="en-US"/>
              </w:rPr>
              <w:t>is my area of strength</w:t>
            </w:r>
            <w:r w:rsidRPr="0CCF1125" w:rsidR="0F5A3C17">
              <w:rPr>
                <w:b w:val="1"/>
                <w:bCs w:val="1"/>
                <w:lang w:val="en-US"/>
              </w:rPr>
              <w:t>?</w:t>
            </w:r>
            <w:r w:rsidRPr="0CCF1125" w:rsidR="43304481">
              <w:rPr>
                <w:b w:val="1"/>
                <w:bCs w:val="1"/>
                <w:lang w:val="en-US"/>
              </w:rPr>
              <w:t xml:space="preserve"> (Pick one Core Competency from above).</w:t>
            </w:r>
          </w:p>
        </w:tc>
        <w:tc>
          <w:tcPr>
            <w:tcW w:w="531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P="3B12A3BD" w:rsidRDefault="00630E98" w14:paraId="0B4619F5" w14:textId="489F7853">
            <w:pPr>
              <w:rPr>
                <w:b/>
                <w:bCs/>
                <w:lang w:val="en-US"/>
              </w:rPr>
            </w:pPr>
            <w:r w:rsidRPr="3B12A3BD">
              <w:rPr>
                <w:rFonts w:asciiTheme="majorHAnsi" w:hAnsiTheme="majorHAnsi" w:cstheme="majorBidi"/>
                <w:b/>
                <w:bCs/>
                <w:color w:val="000000" w:themeColor="text1"/>
                <w:lang w:val="en-US"/>
              </w:rPr>
              <w:t>Example/ Scenario/ Artifact:</w:t>
            </w:r>
            <w:r w:rsidRPr="3B12A3BD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Think of an artifact you might have created, example or scenario (in or out of school), that relates to some aspect of the </w:t>
            </w:r>
            <w:r w:rsidRPr="3B12A3BD" w:rsidR="00EC7C72">
              <w:rPr>
                <w:rFonts w:asciiTheme="majorHAnsi" w:hAnsiTheme="majorHAnsi" w:cstheme="majorBidi"/>
                <w:b/>
                <w:bCs/>
                <w:color w:val="000000" w:themeColor="text1"/>
                <w:lang w:val="en-US"/>
              </w:rPr>
              <w:t>“I can”</w:t>
            </w:r>
            <w:r w:rsidRPr="3B12A3BD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above.</w:t>
            </w:r>
          </w:p>
        </w:tc>
      </w:tr>
      <w:tr w:rsidR="00291EA5" w:rsidTr="0CCF1125" w14:paraId="254CAEAC" w14:textId="77777777">
        <w:trPr>
          <w:trHeight w:val="1424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RDefault="00291EA5" w14:paraId="5792A8EC" w14:textId="77777777"/>
          <w:p w:rsidR="00291EA5" w:rsidP="00630E98" w:rsidRDefault="00291EA5" w14:paraId="70C9D783" w14:textId="75EDFD5F"/>
          <w:p w:rsidR="00291EA5" w:rsidP="00630E98" w:rsidRDefault="00291EA5" w14:paraId="0ABB0618" w14:textId="0A2B3D53"/>
          <w:p w:rsidR="00291EA5" w:rsidP="00630E98" w:rsidRDefault="00291EA5" w14:paraId="04306FB1" w14:textId="058EE258"/>
          <w:p w:rsidR="00291EA5" w:rsidP="00630E98" w:rsidRDefault="00291EA5" w14:paraId="6B7264F7" w14:textId="52B89F81"/>
          <w:p w:rsidR="00291EA5" w:rsidP="00630E98" w:rsidRDefault="00291EA5" w14:paraId="7F37AE2B" w14:textId="79764919"/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RDefault="00291EA5" w14:paraId="1621AF3F" w14:textId="54A022B1"/>
        </w:tc>
      </w:tr>
      <w:tr w:rsidR="00630E98" w:rsidTr="0CCF1125" w14:paraId="1E52DD52" w14:textId="77777777">
        <w:tc>
          <w:tcPr>
            <w:tcW w:w="10485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46F63" w:rsidR="00630E98" w:rsidP="3B12A3BD" w:rsidRDefault="00630E98" w14:paraId="7653132D" w14:textId="77777777">
            <w:pPr>
              <w:widowControl w:val="0"/>
              <w:spacing w:line="240" w:lineRule="auto"/>
              <w:rPr>
                <w:rFonts w:asciiTheme="majorHAnsi" w:hAnsiTheme="majorHAnsi" w:cstheme="majorBidi"/>
                <w:color w:val="000000"/>
                <w:lang w:val="en-US"/>
              </w:rPr>
            </w:pPr>
            <w:r w:rsidRPr="3B12A3BD">
              <w:rPr>
                <w:rFonts w:asciiTheme="majorHAnsi" w:hAnsiTheme="majorHAnsi" w:cstheme="majorBidi"/>
                <w:b/>
                <w:bCs/>
                <w:color w:val="000000" w:themeColor="text1"/>
                <w:lang w:val="en-US"/>
              </w:rPr>
              <w:t>Self-Reflection</w:t>
            </w:r>
            <w:r w:rsidRPr="3B12A3BD">
              <w:rPr>
                <w:rFonts w:asciiTheme="majorHAnsi" w:hAnsiTheme="majorHAnsi" w:cstheme="majorBidi"/>
                <w:color w:val="000000" w:themeColor="text1"/>
                <w:lang w:val="en-US"/>
              </w:rPr>
              <w:t>: Describe the artifact, example or scenario that you have chosen. Think about this example/artifact and reflect on</w:t>
            </w:r>
            <w:r w:rsidRPr="3B12A3BD">
              <w:rPr>
                <w:rFonts w:asciiTheme="majorHAnsi" w:hAnsiTheme="majorHAnsi" w:cstheme="majorBidi"/>
                <w:i/>
                <w:iCs/>
                <w:color w:val="000000" w:themeColor="text1"/>
                <w:lang w:val="en-US"/>
              </w:rPr>
              <w:t xml:space="preserve"> </w:t>
            </w:r>
            <w:r w:rsidRPr="3B12A3BD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lang w:val="en-US"/>
              </w:rPr>
              <w:t>how</w:t>
            </w:r>
            <w:r w:rsidRPr="3B12A3BD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and </w:t>
            </w:r>
            <w:r w:rsidRPr="3B12A3BD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lang w:val="en-US"/>
              </w:rPr>
              <w:t>why</w:t>
            </w:r>
            <w:r w:rsidRPr="3B12A3BD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it demonstrates your strengths or something that you are proud of.</w:t>
            </w:r>
          </w:p>
          <w:p w:rsidR="00630E98" w:rsidP="00630E98" w:rsidRDefault="00630E98" w14:paraId="1FAF2CB5" w14:textId="68D7390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30E98" w:rsidTr="0CCF1125" w14:paraId="234AAE20" w14:textId="77777777"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E98" w:rsidRDefault="00630E98" w14:paraId="4025EA19" w14:textId="77777777">
            <w:pPr>
              <w:rPr>
                <w:i/>
              </w:rPr>
            </w:pPr>
          </w:p>
          <w:p w:rsidR="00630E98" w:rsidRDefault="00630E98" w14:paraId="56C732FE" w14:textId="77777777">
            <w:pPr>
              <w:rPr>
                <w:i/>
              </w:rPr>
            </w:pPr>
          </w:p>
          <w:p w:rsidR="00630E98" w:rsidRDefault="00630E98" w14:paraId="0F0C06A3" w14:textId="77777777">
            <w:pPr>
              <w:rPr>
                <w:i/>
              </w:rPr>
            </w:pPr>
          </w:p>
          <w:p w:rsidR="00630E98" w:rsidRDefault="00630E98" w14:paraId="25EF2637" w14:textId="77777777">
            <w:pPr>
              <w:rPr>
                <w:i/>
              </w:rPr>
            </w:pPr>
          </w:p>
          <w:p w:rsidR="00630E98" w:rsidRDefault="00630E98" w14:paraId="575FD2F3" w14:textId="77777777">
            <w:pPr>
              <w:rPr>
                <w:i/>
              </w:rPr>
            </w:pPr>
          </w:p>
          <w:p w:rsidR="00630E98" w:rsidRDefault="00630E98" w14:paraId="218D3248" w14:textId="77777777">
            <w:pPr>
              <w:rPr>
                <w:i/>
              </w:rPr>
            </w:pPr>
          </w:p>
          <w:p w:rsidR="00630E98" w:rsidRDefault="00630E98" w14:paraId="5526CAD2" w14:textId="77777777">
            <w:pPr>
              <w:rPr>
                <w:i/>
              </w:rPr>
            </w:pPr>
          </w:p>
          <w:p w:rsidR="00630E98" w:rsidRDefault="00630E98" w14:paraId="04393FA1" w14:textId="77777777">
            <w:pPr>
              <w:rPr>
                <w:i/>
              </w:rPr>
            </w:pPr>
          </w:p>
        </w:tc>
      </w:tr>
      <w:tr w:rsidR="00291EA5" w:rsidTr="0CCF1125" w14:paraId="7F0020E4" w14:textId="77777777">
        <w:tc>
          <w:tcPr>
            <w:tcW w:w="51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P="50B041BA" w:rsidRDefault="00C20C6E" w14:paraId="09D5CB76" w14:textId="2E44D7DB">
            <w:pPr>
              <w:rPr>
                <w:b w:val="1"/>
                <w:bCs w:val="1"/>
                <w:lang w:val="en-US"/>
              </w:rPr>
            </w:pPr>
            <w:r w:rsidRPr="0CCF1125" w:rsidR="71D15BBB">
              <w:rPr>
                <w:b w:val="1"/>
                <w:bCs w:val="1"/>
                <w:lang w:val="en-US"/>
              </w:rPr>
              <w:t>What is my area for growth</w:t>
            </w:r>
            <w:r w:rsidRPr="0CCF1125" w:rsidR="00C20C6E">
              <w:rPr>
                <w:b w:val="1"/>
                <w:bCs w:val="1"/>
                <w:lang w:val="en-US"/>
              </w:rPr>
              <w:t xml:space="preserve"> </w:t>
            </w:r>
            <w:r w:rsidRPr="0CCF1125" w:rsidR="00C20C6E">
              <w:rPr>
                <w:b w:val="1"/>
                <w:bCs w:val="1"/>
                <w:lang w:val="en-US"/>
              </w:rPr>
              <w:t xml:space="preserve">for next </w:t>
            </w:r>
            <w:r w:rsidRPr="0CCF1125" w:rsidR="038E64B9">
              <w:rPr>
                <w:b w:val="1"/>
                <w:bCs w:val="1"/>
                <w:lang w:val="en-US"/>
              </w:rPr>
              <w:t>quarter</w:t>
            </w:r>
            <w:r w:rsidRPr="0CCF1125" w:rsidR="03CAFA77">
              <w:rPr>
                <w:b w:val="1"/>
                <w:bCs w:val="1"/>
                <w:lang w:val="en-US"/>
              </w:rPr>
              <w:t>?</w:t>
            </w:r>
            <w:r w:rsidRPr="0CCF1125" w:rsidR="038E64B9">
              <w:rPr>
                <w:b w:val="1"/>
                <w:bCs w:val="1"/>
                <w:lang w:val="en-US"/>
              </w:rPr>
              <w:t xml:space="preserve"> (</w:t>
            </w:r>
            <w:r w:rsidRPr="0CCF1125" w:rsidR="7115AED7">
              <w:rPr>
                <w:b w:val="1"/>
                <w:bCs w:val="1"/>
                <w:lang w:val="en-US"/>
              </w:rPr>
              <w:t>Core Competency from above</w:t>
            </w:r>
            <w:r w:rsidRPr="0CCF1125" w:rsidR="038E64B9">
              <w:rPr>
                <w:b w:val="1"/>
                <w:bCs w:val="1"/>
                <w:lang w:val="en-US"/>
              </w:rPr>
              <w:t>)</w:t>
            </w:r>
          </w:p>
        </w:tc>
        <w:tc>
          <w:tcPr>
            <w:tcW w:w="531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RDefault="00C20C6E" w14:paraId="69EB3293" w14:textId="77777777">
            <w:pPr>
              <w:rPr>
                <w:b/>
              </w:rPr>
            </w:pPr>
            <w:r>
              <w:rPr>
                <w:b/>
              </w:rPr>
              <w:t>My plan to reach my goals. (specific examples)</w:t>
            </w:r>
          </w:p>
        </w:tc>
      </w:tr>
      <w:tr w:rsidR="00291EA5" w:rsidTr="0CCF1125" w14:paraId="176BD629" w14:textId="77777777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RDefault="00C20C6E" w14:paraId="42FAD5D2" w14:textId="77BF731B">
            <w:r>
              <w:rPr>
                <w:i/>
              </w:rPr>
              <w:t>I can get better at</w:t>
            </w:r>
            <w:r w:rsidR="00630E98">
              <w:rPr>
                <w:i/>
              </w:rPr>
              <w:t>…</w:t>
            </w:r>
          </w:p>
          <w:p w:rsidR="00291EA5" w:rsidRDefault="00291EA5" w14:paraId="2BE9B108" w14:textId="77777777"/>
          <w:p w:rsidR="00291EA5" w:rsidRDefault="00291EA5" w14:paraId="1989BD92" w14:textId="77777777"/>
          <w:p w:rsidR="00291EA5" w:rsidRDefault="00291EA5" w14:paraId="0026FA9F" w14:textId="77777777"/>
          <w:p w:rsidR="00291EA5" w:rsidRDefault="00291EA5" w14:paraId="72694C6C" w14:textId="77777777"/>
          <w:p w:rsidR="00291EA5" w:rsidRDefault="00291EA5" w14:paraId="4CA5C0F3" w14:textId="77777777"/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EA5" w:rsidRDefault="00C20C6E" w14:paraId="0DE7F9EE" w14:textId="7A9E185C">
            <w:r>
              <w:rPr>
                <w:i/>
              </w:rPr>
              <w:t>To do this I will</w:t>
            </w:r>
            <w:r w:rsidR="00630E98">
              <w:rPr>
                <w:i/>
              </w:rPr>
              <w:t>…</w:t>
            </w:r>
          </w:p>
        </w:tc>
      </w:tr>
    </w:tbl>
    <w:p w:rsidR="00291EA5" w:rsidRDefault="00291EA5" w14:paraId="1F03AD4D" w14:textId="77777777"/>
    <w:p w:rsidR="00DB0A41" w:rsidRDefault="00DB0A41" w14:paraId="0BD39369" w14:textId="04B66159">
      <w:r>
        <w:t>Here is what it could look like:</w:t>
      </w:r>
    </w:p>
    <w:p w:rsidRPr="005C43CA" w:rsidR="00DB0A41" w:rsidP="00DB0A41" w:rsidRDefault="00DB0A41" w14:paraId="2DB4B96A" w14:textId="15CDF910">
      <w:pPr>
        <w:rPr>
          <w:rStyle w:val="oypena"/>
          <w:i/>
          <w:iCs/>
          <w:color w:val="000000"/>
        </w:rPr>
      </w:pPr>
      <w:r w:rsidRPr="005C43CA">
        <w:rPr>
          <w:b/>
          <w:bCs/>
        </w:rPr>
        <w:t>Scenario</w:t>
      </w:r>
      <w:r w:rsidRPr="005C43CA">
        <w:t xml:space="preserve">- </w:t>
      </w:r>
      <w:r w:rsidRPr="005C43CA">
        <w:rPr>
          <w:rStyle w:val="oypena"/>
          <w:color w:val="000000"/>
        </w:rPr>
        <w:t>“I collaborated on a group project where each member was responsible for contributing ideas”</w:t>
      </w:r>
      <w:r w:rsidRPr="005C43CA">
        <w:t xml:space="preserve"> </w:t>
      </w:r>
      <w:r w:rsidRPr="005C43CA">
        <w:rPr>
          <w:rStyle w:val="oypena"/>
          <w:i/>
          <w:iCs/>
          <w:color w:val="000000"/>
        </w:rPr>
        <w:t>(Supporting group interactions- part of the communication core competency)</w:t>
      </w:r>
    </w:p>
    <w:p w:rsidRPr="005C43CA" w:rsidR="00DB0A41" w:rsidP="3B12A3BD" w:rsidRDefault="00DB0A41" w14:paraId="585D7BC9" w14:textId="079FE8AC">
      <w:pPr>
        <w:rPr>
          <w:rStyle w:val="oypena"/>
          <w:rFonts w:asciiTheme="majorHAnsi" w:hAnsiTheme="majorHAnsi" w:cstheme="majorBidi"/>
          <w:lang w:val="en-US"/>
        </w:rPr>
      </w:pPr>
      <w:r w:rsidRPr="3B12A3BD">
        <w:rPr>
          <w:rStyle w:val="oypena"/>
          <w:b/>
          <w:bCs/>
          <w:color w:val="000000" w:themeColor="text1"/>
          <w:lang w:val="en-US"/>
        </w:rPr>
        <w:t>Self-Reflection</w:t>
      </w:r>
      <w:r w:rsidRPr="3B12A3BD">
        <w:rPr>
          <w:rStyle w:val="oypena"/>
          <w:color w:val="000000" w:themeColor="text1"/>
          <w:lang w:val="en-US"/>
        </w:rPr>
        <w:t xml:space="preserve">- </w:t>
      </w:r>
      <w:r w:rsidRPr="3B12A3BD" w:rsidR="00F82933">
        <w:rPr>
          <w:rFonts w:asciiTheme="majorHAnsi" w:hAnsiTheme="majorHAnsi" w:cstheme="majorBidi"/>
          <w:lang w:val="en-US"/>
        </w:rPr>
        <w:t xml:space="preserve">“I worked </w:t>
      </w:r>
      <w:r w:rsidRPr="3B12A3BD" w:rsidR="53F88555">
        <w:rPr>
          <w:rFonts w:asciiTheme="majorHAnsi" w:hAnsiTheme="majorHAnsi" w:cstheme="majorBidi"/>
          <w:lang w:val="en-US"/>
        </w:rPr>
        <w:t>hard</w:t>
      </w:r>
      <w:r w:rsidRPr="3B12A3BD" w:rsidR="00F82933">
        <w:rPr>
          <w:rFonts w:asciiTheme="majorHAnsi" w:hAnsiTheme="majorHAnsi" w:cstheme="majorBidi"/>
          <w:lang w:val="en-US"/>
        </w:rPr>
        <w:t xml:space="preserve"> on not interrupting my other group members when we all share.  Normally I get frustrated at …” </w:t>
      </w:r>
    </w:p>
    <w:p w:rsidRPr="005C43CA" w:rsidR="00DB0A41" w:rsidP="00DB0A41" w:rsidRDefault="00DB0A41" w14:paraId="156A955A" w14:textId="10239BF4">
      <w:pPr>
        <w:rPr>
          <w:rStyle w:val="oypena"/>
          <w:color w:val="000000"/>
        </w:rPr>
      </w:pPr>
      <w:r w:rsidRPr="005C43CA">
        <w:rPr>
          <w:rStyle w:val="oypena"/>
          <w:b/>
          <w:bCs/>
          <w:color w:val="000000"/>
        </w:rPr>
        <w:t>Goal- “</w:t>
      </w:r>
      <w:r w:rsidRPr="005C43CA">
        <w:rPr>
          <w:rStyle w:val="oypena"/>
          <w:color w:val="000000"/>
        </w:rPr>
        <w:t>I am going to focus on listening to the speaker and not thinking of my response until they are done; I need to pause before I speak so that other people also have a chance to add their ideas.”</w:t>
      </w:r>
    </w:p>
    <w:p w:rsidRPr="005C43CA" w:rsidR="00DB0A41" w:rsidP="3B12A3BD" w:rsidRDefault="00DB0A41" w14:paraId="45D0E1F8" w14:textId="145748DF">
      <w:pPr>
        <w:rPr>
          <w:rStyle w:val="oypena"/>
          <w:color w:val="000000"/>
          <w:lang w:val="en-US"/>
        </w:rPr>
      </w:pPr>
      <w:r w:rsidRPr="3B12A3BD">
        <w:rPr>
          <w:rStyle w:val="oypena"/>
          <w:b/>
          <w:bCs/>
          <w:color w:val="000000" w:themeColor="text1"/>
          <w:lang w:val="en-US"/>
        </w:rPr>
        <w:t>Plan-</w:t>
      </w:r>
      <w:r w:rsidRPr="3B12A3BD">
        <w:rPr>
          <w:rStyle w:val="oypena"/>
          <w:color w:val="000000" w:themeColor="text1"/>
          <w:lang w:val="en-US"/>
        </w:rPr>
        <w:t xml:space="preserve"> “I plan to tell me next group that this is something I am working on so they can help notice when I am jumping in and cutting them off—we can create a code or signal so I know it them trying to help me get better at this”</w:t>
      </w:r>
    </w:p>
    <w:p w:rsidR="00352203" w:rsidRDefault="00352203" w14:paraId="4E212A71" w14:textId="77777777">
      <w:pPr>
        <w:rPr>
          <w:rStyle w:val="oypena"/>
          <w:color w:val="000000"/>
        </w:rPr>
      </w:pPr>
    </w:p>
    <w:p w:rsidRPr="00DB0A41" w:rsidR="00352203" w:rsidP="3B12A3BD" w:rsidRDefault="00721B78" w14:paraId="0E3A9648" w14:textId="6181B1D1">
      <w:pPr>
        <w:shd w:val="clear" w:color="auto" w:fill="EEECE1" w:themeFill="background2"/>
        <w:rPr>
          <w:color w:val="000000"/>
          <w:lang w:val="en-US"/>
        </w:rPr>
      </w:pPr>
      <w:r w:rsidRPr="7AC36442" w:rsidR="0B2AF277">
        <w:rPr>
          <w:rStyle w:val="oypena"/>
          <w:color w:val="000000" w:themeColor="text1" w:themeTint="FF" w:themeShade="FF"/>
          <w:lang w:val="en-US"/>
        </w:rPr>
        <w:t xml:space="preserve">Log in to </w:t>
      </w:r>
      <w:hyperlink r:id="R8c4df295f9d34359">
        <w:r w:rsidRPr="7AC36442" w:rsidR="0B2AF277">
          <w:rPr>
            <w:rStyle w:val="Hyperlink"/>
            <w:lang w:val="en-US"/>
          </w:rPr>
          <w:t>Student Connect</w:t>
        </w:r>
      </w:hyperlink>
      <w:r w:rsidRPr="7AC36442" w:rsidR="0B2AF277">
        <w:rPr>
          <w:rStyle w:val="oypena"/>
          <w:color w:val="000000" w:themeColor="text1" w:themeTint="FF" w:themeShade="FF"/>
          <w:lang w:val="en-US"/>
        </w:rPr>
        <w:t xml:space="preserve"> </w:t>
      </w:r>
      <w:r w:rsidRPr="7AC36442" w:rsidR="0B2AF277">
        <w:rPr>
          <w:rStyle w:val="oypena"/>
          <w:rFonts w:ascii="Wingdings" w:hAnsi="Wingdings" w:eastAsia="Wingdings" w:cs="Wingdings"/>
          <w:color w:val="000000" w:themeColor="text1" w:themeTint="FF" w:themeShade="FF"/>
          <w:lang w:val="en-US"/>
        </w:rPr>
        <w:t>à</w:t>
      </w:r>
      <w:r w:rsidRPr="7AC36442" w:rsidR="0B2AF277">
        <w:rPr>
          <w:rStyle w:val="oypena"/>
          <w:color w:val="000000" w:themeColor="text1" w:themeTint="FF" w:themeShade="FF"/>
          <w:lang w:val="en-US"/>
        </w:rPr>
        <w:t>Portfolio</w:t>
      </w:r>
      <w:r w:rsidRPr="7AC36442" w:rsidR="0B2AF277">
        <w:rPr>
          <w:rStyle w:val="oypena"/>
          <w:color w:val="000000" w:themeColor="text1" w:themeTint="FF" w:themeShade="FF"/>
          <w:lang w:val="en-US"/>
        </w:rPr>
        <w:t xml:space="preserve"> Side </w:t>
      </w:r>
      <w:r w:rsidRPr="7AC36442" w:rsidR="0B2AF277">
        <w:rPr>
          <w:rStyle w:val="oypena"/>
          <w:color w:val="000000" w:themeColor="text1" w:themeTint="FF" w:themeShade="FF"/>
          <w:lang w:val="en-US"/>
        </w:rPr>
        <w:t>Tab,--</w:t>
      </w:r>
      <w:r w:rsidRPr="7AC36442" w:rsidR="0B2AF277">
        <w:rPr>
          <w:rStyle w:val="oypena"/>
          <w:color w:val="000000" w:themeColor="text1" w:themeTint="FF" w:themeShade="FF"/>
          <w:lang w:val="en-US"/>
        </w:rPr>
        <w:t xml:space="preserve">&gt; Select the “Add </w:t>
      </w:r>
      <w:r w:rsidRPr="7AC36442" w:rsidR="28CB8862">
        <w:rPr>
          <w:rStyle w:val="oypena"/>
          <w:color w:val="000000" w:themeColor="text1" w:themeTint="FF" w:themeShade="FF"/>
          <w:lang w:val="en-US"/>
        </w:rPr>
        <w:t>Goal Setting &amp; Reflection</w:t>
      </w:r>
      <w:r w:rsidRPr="7AC36442" w:rsidR="0B2AF277">
        <w:rPr>
          <w:rStyle w:val="oypena"/>
          <w:color w:val="000000" w:themeColor="text1" w:themeTint="FF" w:themeShade="FF"/>
          <w:lang w:val="en-US"/>
        </w:rPr>
        <w:t>” or upload this form.</w:t>
      </w:r>
    </w:p>
    <w:sectPr w:rsidRPr="00DB0A41" w:rsidR="00352203" w:rsidSect="002408D8">
      <w:pgSz w:w="12240" w:h="15840" w:orient="portrait"/>
      <w:pgMar w:top="680" w:right="720" w:bottom="6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2c30e3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D23472"/>
    <w:multiLevelType w:val="multilevel"/>
    <w:tmpl w:val="883A7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933CEA"/>
    <w:multiLevelType w:val="multilevel"/>
    <w:tmpl w:val="1F044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70B6CAD"/>
    <w:multiLevelType w:val="multilevel"/>
    <w:tmpl w:val="E1A2B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D14998"/>
    <w:multiLevelType w:val="multilevel"/>
    <w:tmpl w:val="40ECF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3C51FC"/>
    <w:multiLevelType w:val="multilevel"/>
    <w:tmpl w:val="F89C3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C75A24"/>
    <w:multiLevelType w:val="multilevel"/>
    <w:tmpl w:val="9EC80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BE738A"/>
    <w:multiLevelType w:val="multilevel"/>
    <w:tmpl w:val="69207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D3069E"/>
    <w:multiLevelType w:val="multilevel"/>
    <w:tmpl w:val="34F63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AF3D2E"/>
    <w:multiLevelType w:val="multilevel"/>
    <w:tmpl w:val="ACCCA52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sz w:val="20"/>
        <w:szCs w:val="20"/>
      </w:rPr>
    </w:lvl>
  </w:abstractNum>
  <w:abstractNum w:abstractNumId="9" w15:restartNumberingAfterBreak="0">
    <w:nsid w:val="41424645"/>
    <w:multiLevelType w:val="multilevel"/>
    <w:tmpl w:val="02C81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752119"/>
    <w:multiLevelType w:val="multilevel"/>
    <w:tmpl w:val="FFCCD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81B09F0"/>
    <w:multiLevelType w:val="multilevel"/>
    <w:tmpl w:val="C58E5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04237B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B702D0D"/>
    <w:multiLevelType w:val="multilevel"/>
    <w:tmpl w:val="F2C4C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10287B"/>
    <w:multiLevelType w:val="multilevel"/>
    <w:tmpl w:val="72627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26242F"/>
    <w:multiLevelType w:val="hybridMultilevel"/>
    <w:tmpl w:val="B95208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7">
    <w:abstractNumId w:val="16"/>
  </w:num>
  <w:num w:numId="1" w16cid:durableId="62456445">
    <w:abstractNumId w:val="7"/>
  </w:num>
  <w:num w:numId="2" w16cid:durableId="177741196">
    <w:abstractNumId w:val="2"/>
  </w:num>
  <w:num w:numId="3" w16cid:durableId="2073700563">
    <w:abstractNumId w:val="13"/>
  </w:num>
  <w:num w:numId="4" w16cid:durableId="1734236460">
    <w:abstractNumId w:val="0"/>
  </w:num>
  <w:num w:numId="5" w16cid:durableId="224948373">
    <w:abstractNumId w:val="6"/>
  </w:num>
  <w:num w:numId="6" w16cid:durableId="354768739">
    <w:abstractNumId w:val="5"/>
  </w:num>
  <w:num w:numId="7" w16cid:durableId="1224179507">
    <w:abstractNumId w:val="3"/>
  </w:num>
  <w:num w:numId="8" w16cid:durableId="1853716642">
    <w:abstractNumId w:val="14"/>
  </w:num>
  <w:num w:numId="9" w16cid:durableId="559558004">
    <w:abstractNumId w:val="9"/>
  </w:num>
  <w:num w:numId="10" w16cid:durableId="2033801817">
    <w:abstractNumId w:val="11"/>
  </w:num>
  <w:num w:numId="11" w16cid:durableId="543324937">
    <w:abstractNumId w:val="4"/>
  </w:num>
  <w:num w:numId="12" w16cid:durableId="1473254297">
    <w:abstractNumId w:val="12"/>
  </w:num>
  <w:num w:numId="13" w16cid:durableId="1994721713">
    <w:abstractNumId w:val="8"/>
  </w:num>
  <w:num w:numId="14" w16cid:durableId="312100193">
    <w:abstractNumId w:val="15"/>
  </w:num>
  <w:num w:numId="15" w16cid:durableId="572810595">
    <w:abstractNumId w:val="10"/>
  </w:num>
  <w:num w:numId="16" w16cid:durableId="108784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A5"/>
    <w:rsid w:val="000416B9"/>
    <w:rsid w:val="0022435A"/>
    <w:rsid w:val="00232A4E"/>
    <w:rsid w:val="002408D8"/>
    <w:rsid w:val="00291EA5"/>
    <w:rsid w:val="00352203"/>
    <w:rsid w:val="003F6724"/>
    <w:rsid w:val="004A5625"/>
    <w:rsid w:val="0054358C"/>
    <w:rsid w:val="005C43CA"/>
    <w:rsid w:val="00630E98"/>
    <w:rsid w:val="00721B78"/>
    <w:rsid w:val="00760876"/>
    <w:rsid w:val="008F6CD8"/>
    <w:rsid w:val="00A46399"/>
    <w:rsid w:val="00C04763"/>
    <w:rsid w:val="00C20C6E"/>
    <w:rsid w:val="00DB0A41"/>
    <w:rsid w:val="00DC25B3"/>
    <w:rsid w:val="00DC66BA"/>
    <w:rsid w:val="00DD595C"/>
    <w:rsid w:val="00E179A1"/>
    <w:rsid w:val="00E66FFD"/>
    <w:rsid w:val="00E81D35"/>
    <w:rsid w:val="00E82FAC"/>
    <w:rsid w:val="00EC7C72"/>
    <w:rsid w:val="00ED62DC"/>
    <w:rsid w:val="00F250F1"/>
    <w:rsid w:val="00F63F89"/>
    <w:rsid w:val="00F82933"/>
    <w:rsid w:val="038E64B9"/>
    <w:rsid w:val="03CAFA77"/>
    <w:rsid w:val="0B2AF277"/>
    <w:rsid w:val="0CCF1125"/>
    <w:rsid w:val="0EC11822"/>
    <w:rsid w:val="0F5A3C17"/>
    <w:rsid w:val="0FA77AC7"/>
    <w:rsid w:val="0FCD57F7"/>
    <w:rsid w:val="13498F91"/>
    <w:rsid w:val="1369B54C"/>
    <w:rsid w:val="167C230A"/>
    <w:rsid w:val="1753E717"/>
    <w:rsid w:val="1858C7F9"/>
    <w:rsid w:val="194D504E"/>
    <w:rsid w:val="1A5D8014"/>
    <w:rsid w:val="218A6C52"/>
    <w:rsid w:val="23435BC9"/>
    <w:rsid w:val="235EFACD"/>
    <w:rsid w:val="2898BFC2"/>
    <w:rsid w:val="28CB8862"/>
    <w:rsid w:val="300A49F8"/>
    <w:rsid w:val="351F34C0"/>
    <w:rsid w:val="3587FE8C"/>
    <w:rsid w:val="36D67E2D"/>
    <w:rsid w:val="37F939D4"/>
    <w:rsid w:val="3A8507B8"/>
    <w:rsid w:val="3B12A3BD"/>
    <w:rsid w:val="3F0A45A4"/>
    <w:rsid w:val="43304481"/>
    <w:rsid w:val="471BF00D"/>
    <w:rsid w:val="490D4021"/>
    <w:rsid w:val="4C51E891"/>
    <w:rsid w:val="4DEEB63B"/>
    <w:rsid w:val="50B041BA"/>
    <w:rsid w:val="53F88555"/>
    <w:rsid w:val="544A29E6"/>
    <w:rsid w:val="5D3ED46B"/>
    <w:rsid w:val="61C2FCA5"/>
    <w:rsid w:val="662FA83D"/>
    <w:rsid w:val="7115AED7"/>
    <w:rsid w:val="719F6019"/>
    <w:rsid w:val="71D15BBB"/>
    <w:rsid w:val="76D0F622"/>
    <w:rsid w:val="76E20AF3"/>
    <w:rsid w:val="7874FB29"/>
    <w:rsid w:val="7AC36442"/>
    <w:rsid w:val="7F9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4194"/>
  <w15:docId w15:val="{4605B534-68C2-854D-AE54-C1191E9E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C25B3"/>
    <w:pPr>
      <w:widowControl w:val="0"/>
      <w:spacing w:line="240" w:lineRule="auto"/>
      <w:ind w:left="720"/>
      <w:contextualSpacing/>
    </w:pPr>
    <w:rPr>
      <w:rFonts w:ascii="Cambria" w:hAnsi="Cambria" w:eastAsia="Cambria" w:cs="Cambria"/>
      <w:sz w:val="24"/>
      <w:szCs w:val="24"/>
      <w:lang w:val="en-US"/>
    </w:rPr>
  </w:style>
  <w:style w:type="paragraph" w:styleId="cvgsua" w:customStyle="1">
    <w:name w:val="cvgsua"/>
    <w:basedOn w:val="Normal"/>
    <w:rsid w:val="00DB0A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/>
    </w:rPr>
  </w:style>
  <w:style w:type="character" w:styleId="oypena" w:customStyle="1">
    <w:name w:val="oypena"/>
    <w:basedOn w:val="DefaultParagraphFont"/>
    <w:rsid w:val="00DB0A41"/>
  </w:style>
  <w:style w:type="character" w:styleId="Hyperlink">
    <w:name w:val="Hyperlink"/>
    <w:basedOn w:val="DefaultParagraphFont"/>
    <w:uiPriority w:val="99"/>
    <w:unhideWhenUsed/>
    <w:rsid w:val="00721B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studentconnect.sd61.bc.ca/Account/Login?ReturnUrl=%2F" TargetMode="External" Id="R8c4df295f9d343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Maylyn Elliot</lastModifiedBy>
  <revision>8</revision>
  <lastPrinted>2024-01-17T07:00:00.0000000Z</lastPrinted>
  <dcterms:created xsi:type="dcterms:W3CDTF">2024-10-07T16:44:00.0000000Z</dcterms:created>
  <dcterms:modified xsi:type="dcterms:W3CDTF">2024-11-06T21:09:47.4802885Z</dcterms:modified>
</coreProperties>
</file>